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11 203 vom 26. April 2012</w:t>
      </w:r>
    </w:p>
    <w:p>
      <w:r>
        <w:t>VS Kantonsgericht, 2012-04-26, FR</w:t>
      </w:r>
    </w:p>
    <w:p>
      <w:r>
        <w:rPr>
          <w:b/>
        </w:rPr>
        <w:t xml:space="preserve">Quelle: </w:t>
      </w:r>
      <w:r>
        <w:t>https://mcp.opencaselaw.ch/entscheid/vs_gerichte_P3 11 203</w:t>
      </w:r>
    </w:p>
    <w:p>
      <w:r>
        <w:t>FR: VS_GERICHTE P3 11 203 du 26 avril 2012</w:t>
      </w:r>
    </w:p>
    <w:p>
      <w:r>
        <w:t>IT: VS_GERICHTE P3 11 203 del 26 aprile 2012</w:t>
      </w:r>
    </w:p>
    <w:p>
      <w:pPr>
        <w:pStyle w:val="Heading2"/>
      </w:pPr>
      <w:r>
        <w:t>Regeste</w:t>
      </w:r>
    </w:p>
    <w:p>
      <w:r>
        <w:t>202 RVJ / ZWR 2013 Procédure pénale Strafprozessrecht Procédure pénale - ordre de fermeture d'un site internet – ATC (Juge de la Chambre pénale) du 26 avril 2012, Dame X. c. Ministère public du Bas-Valais - TCV P3 11 203 Ordonnance de séquestre : forme, conditions et objet - Une décision peut être rendue sous la forme d'une simple lettre (consid. 3.1). - Une décision de séquestre doit comporter une motivation suffisante pour respecter le droit d'être entendu des personnes dont les actifs sont saisis et permettre à l'autorité de recours d'exercer son contrôle ; conditions permettant la réparation du défaut de motivation en instance supérieure (consid. 4.1). - Le séquestre pénal ordonné par une autorité d'instruction est une mesure conserva- toire provisoire destinée à préserver les objets ou valeurs que le juge du fond pourrait être amené à confisquer (art. 69 CP ; 263 CPP ; consid. 5.1.1). Bloquer l’accès à un site internet servant à perpétuer des atteintes à l’honneur est assimilable à une mesure de séquestre (consid. 5.1.3). Beschlagnahmebefehl: Form, Voraussetzungen und Gegenstand - Ein Entscheid kann in Form eines einfachen Briefes ergehen (E. 3.1). - Der Beschlagnahmeentscheid muss hinreichend begründet sein, um dem Anspruch</w:t>
      </w:r>
    </w:p>
    <w:p>
      <w:pPr>
        <w:pStyle w:val="Heading2"/>
      </w:pPr>
      <w:r>
        <w:t>Erwägungen</w:t>
      </w:r>
    </w:p>
    <w:p>
      <w:r>
        <w:rPr>
          <w:b/>
        </w:rPr>
        <w:t>E. 1</w:t>
      </w:r>
    </w:p>
    <w:p>
      <w:r>
        <w:t>L’ordonnance attaquée a été rendue après l’entrée en vigueur du Code de procédure pénale suisse (CPP - RS 312.0), le 1er janvier 2011. Le recours de X___________ doit donc être traité selon le nouveau droit de procédure pénale suisse (art. 454 al. 1 CPP).</w:t>
      </w:r>
    </w:p>
    <w:p>
      <w:r>
        <w:rPr>
          <w:b/>
        </w:rPr>
        <w:t>E. 2.1</w:t>
      </w:r>
    </w:p>
    <w:p>
      <w:r>
        <w:t>Un recours peut être formé devant un juge unique de la chambre pénale contre les décisions du ministère public, notamment en matière de refus de levée de séquestre (art. 393 al. 1 let. a CPP, 20 al. 3 LOJ et 13 al. 1 LACPP ; ATC P3 11 141 du 28 septembre 2011 et les références). Peuvent notamment être invoqués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Elle ne doit connaître que de ce qui lui est soumis (Calame, Code de procédure pénale suisse, Commentaire romand, 2011, n. 5, 6 et 20 ad art. 385 CPP). Si l'autorité admet le recours, elle rend une nouvelle décision ou annule la décision attaquée et la renvoie à l'autorité inférieure qui statue (art. 397 al. 2 CPP).</w:t>
      </w:r>
    </w:p>
    <w:p>
      <w:r>
        <w:rPr>
          <w:b/>
        </w:rPr>
        <w:t>E. 2.2</w:t>
      </w:r>
    </w:p>
    <w:p>
      <w:r>
        <w:t>En l'espèce, X___________ a qualité pour recourir, dès lors qu'elle est prévenue (art. 104 al. 1 let. a et 111 al. 1 CPP) et qu'elle a un intérêt juridiquement protégé à l'annulation de la décision ordonnant la fermeture de son site internet (art. 382 al. 1 CPP) qui, comme on va le voir (consid. 5.1.3), équivaut à une mesure de séquestre. Son recours, qui a été adressé dans le délai de dix jours dès la notification écrite de la décision litigieuse (art. 90 al. 1, 91 al. 1 et 2, 322 al. 2, 384 let. b et 396 al. 1 CPP) et qui respecte par ailleurs les conditions de motivation et de formes légales (art. 385 al. 1 et 396 al. 1 CPP), est donc recevable.</w:t>
      </w:r>
    </w:p>
    <w:p>
      <w:r>
        <w:t>- 4 -</w:t>
      </w:r>
    </w:p>
    <w:p>
      <w:r>
        <w:rPr>
          <w:b/>
        </w:rPr>
        <w:t>E. 3</w:t>
      </w:r>
    </w:p>
    <w:p>
      <w:r>
        <w:t>D’un point de vue formel, la recourante soutient tout d’abord que la décision ne lui a pas été notifiée valablement, puisqu’elle n’en a reçu qu’une copie par l’intermédiaire de son mandataire et qu’un séquestre ne saurait être ordonné sur la base d’une simple correspondance reçue en copie.</w:t>
      </w:r>
    </w:p>
    <w:p>
      <w:r>
        <w:rPr>
          <w:b/>
        </w:rPr>
        <w:t>E. 3.1</w:t>
      </w:r>
    </w:p>
    <w:p>
      <w:r>
        <w:t>A cet égard, on rappellera que selon la jurisprudence, une décision peut être rendue sous la forme d'une simple lettre (RVJ 2003 p. 307 consid. 2b ; ATC P3 08 197 du 28 novembre 2008). Ainsi, le courrier du procureur du 25 octobre 2011, qui non seulement mentionne expressément la voie de recours, mais comprend également une brève motivation, puisqu'il justifie la fermeture du site internet en raison d’une instruction menée pour diffamation au moyen de ce site, vaut bel et bien décision.</w:t>
      </w:r>
    </w:p>
    <w:p>
      <w:r>
        <w:rPr>
          <w:b/>
        </w:rPr>
        <w:t>E. 3.2</w:t>
      </w:r>
    </w:p>
    <w:p>
      <w:r>
        <w:t>Par ailleurs, en vertu de l’art. 87 al. 3 CPP, si les parties sont pourvues d’un conseil juridique, les communications sont valablement notifiées à celui-ci. Ainsi, la recourante ne peut se plaindre d’une notification incorrecte.</w:t>
      </w:r>
    </w:p>
    <w:p>
      <w:r>
        <w:rPr>
          <w:b/>
        </w:rPr>
        <w:t>E. 4</w:t>
      </w:r>
    </w:p>
    <w:p>
      <w:r>
        <w:t>La recourante fait également valoir un défaut de motivation de la décision attaquée.</w:t>
      </w:r>
    </w:p>
    <w:p>
      <w:r>
        <w:rPr>
          <w:b/>
        </w:rPr>
        <w:t>E. 4.1</w:t>
      </w:r>
    </w:p>
    <w:p>
      <w:r>
        <w:t>Le droit d'être entendu, tel qu'il est garanti par l'art. 29 al. 2 Cst.,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ne doit pas se prononcer sur tous les moyens des parties mais peut se limiter aux questions décisives (ATF 130 II 530 consid. 4.3, 473 consid. 4.1 ; 129 I 232 consid. 3.2 ; 126 I 97 consid. 2b ; RVJ 2003 p. 307 consid. 2a ; 2000 p. 288 consid. 13). Plus particulièrement, une décision de séquestre doit comporter une motivation suffisante pour respecter le droit d’être entendues des personnes dont les actifs sont saisis et permettre à l’autorité de recours d’exercer son contrôle (Lembo/Julen Berthod, Commentaire romand, n. 35 ad art. 263 CPP). Il convient toutefois de relever que, 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(ATF 134 I 331 consid. 3.1 ; 133 I 201 consid. 2.2 ; 130 II 530 consid. 7.3 ; 127 V 431 consid. 3d/aa ; Macaluso, Commentaire romand, n. 20 ad art. 81 CPP), une telle réparation pouvant aussi se justifier en présence d'un vice grave, lorsque le renvoi de la cause en instance inférieure constituerait une vaine formalité et aboutirait à un allongement inutile de la procédure (ATF 133 I 201 consid. 2.2).</w:t>
      </w:r>
    </w:p>
    <w:p>
      <w:r>
        <w:rPr>
          <w:b/>
        </w:rPr>
        <w:t>E. 4.2</w:t>
      </w:r>
    </w:p>
    <w:p>
      <w:r>
        <w:t>En l'occurrence, force est de constater que, bien que succincte, la motivation de la décision attaquée n’a pas empêché la recourante d’agir utilement devant l’autorité de céans. En tout état de cause, il s’imposerait de réparer le vice de forme, dès lors que la</w:t>
      </w:r>
    </w:p>
    <w:p>
      <w:r>
        <w:t>- 5 -</w:t>
      </w:r>
    </w:p>
    <w:p>
      <w:r>
        <w:t>recourante, qui a tout intérêt à être fixée rapidement sur le sort de son recours, ne peut en subir aucun préjudice.</w:t>
      </w:r>
    </w:p>
    <w:p>
      <w:r>
        <w:rPr>
          <w:b/>
        </w:rPr>
        <w:t>E. 5</w:t>
      </w:r>
    </w:p>
    <w:p>
      <w:r>
        <w:t>Sur le fond, il sied d’examiner si les conditions d’un séquestre sont réunies, en l’espèce. 5.1.1 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l'art. 263 CPP, disposition selon laquelle les objets et les valeurs patrimoniales appartenant au prévenu ou à des tiers peuvent être séquestrés notamment lorsqu'il est probable qu'ils devront être confisqués (let. d). Une telle mesure est fondée sur la vraisemblance; elle porte sur des objets ou valeurs dont on peut admettre, prima facie, qu'ils pourront être confisqués en application du droit pénal fédéral (ATF 126 I 97 consid. 3d/aa et les références citées ; Lembo/Julen Berthod, Commentaire romand, n. 7 ad art. 263 CPP).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qu'il résolve des questions juridiques complexes ou qu'il attende d'être renseigné de manière exacte et complète sur les faits avant d'agir (ATF 116 Ib 96 consid. 3a). Le séquestre pénal se justifie aussi longtemps que subsiste une probabilité de confiscation (SJ 1994 p. 90 et 102). 5.1.2 En vertu de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Dans son principe, le séquestre est conçu de façon très large ; aussi peut-il porter sur des objets de toute nature, pourvu qu’ils se rapportent d’une manière quelconque à l’infraction (Piquerez, Procédure pénale suisse, 3e éd., n. 1360, p. 478 ; cf. aussi Lembo/Julen Berthod, Commentaire romand, n. 20, 24 et 27 ad art. 263 CPP). En effet, la confiscation ne peut intervenir que si l’objet est en rapport avec la commission d’une infraction déterminée ; le simple fait que l’objet puisse permettre la commission d’une infraction ne suffit pas, lorsque les conditions de punissabilité, en particulier l’élément subjectif, ne sont pas réalisées dans le cas concret (SJ 1997 p. 186 ; arrêt 197/2008 du Tribunal d’accusation du canton de Vaud du 3 avril 2008 consid. 4 in Forumpoenale 5/2008 p. 267 ; arrêt BV.2004.26 du Tribunal pénal fédéral du 16 février 2005 consid. 3 et 4.4).</w:t>
      </w:r>
    </w:p>
    <w:p>
      <w:r>
        <w:t>- 6 -</w:t>
      </w:r>
    </w:p>
    <w:p>
      <w:r>
        <w:t>5.1.3 Si l’accès à un site internet a un caractère sinon purement virtuel, du moins matériellement difficilement saisissable, celui-ci ne constitue toutefois pas un obstacle à la confiscation. Bloquer définitivement l’accès à des sites donnés est techniquement possible et équivaut à une destruction au sens de l’art. 69 al. 2 CP, alors que l’ordre du juge d’instruction au fournisseur d’accès d’empêcher la diffusion de pages désignées par leur adresse électronique est assimilable à une mesure de séquestre. En outre, si un serveur n’est pas dangereux en soi, il constitue néanmoins un instrumenta sceleris (Piquerez, op. cit., n. 1399 p. 491), à savoir un instrument perpétuant l’infraction, puisqu’il rend possible la réalisation de l’infraction de manière durable et continue (arrêt 197/2008 cité ci-dessus, modifiant la jurisprudence de l’arrêt du Tribunal d’accusation du canton de Vaud du 2 avril 2003 in JdT 2003 III 123).</w:t>
      </w:r>
    </w:p>
    <w:p>
      <w:r>
        <w:rPr>
          <w:b/>
        </w:rPr>
        <w:t>E. 5.2</w:t>
      </w:r>
    </w:p>
    <w:p>
      <w:r>
        <w:t>En l’espèce, la mesure litigieuse concerne l’accès à un site internet servant à perpétuer des atteintes à l’honneur instruites dans une enquête pénale en cours. Elle revêt un caractère provisoire et, en tant que mesure de séquestre, se justifie pleinement dans la mesure où elle vise à empêcher la commission de nouveaux actes délictueux (cf. pour ex. : arrêts 5A_425/2009 du 13 août 2009 ; 1B_242/2009 du 21 octobre 2009). A l’instar d’autres mesures de contrainte, le procureur pouvait l’ordonner d’office, sans entendre au préalable les parties. Le grief « d’inopportunité » soulevé par la recourante est, dès lors, inconsistant. Par ailleurs, l’argument selon lequel les faits reprochés à Y___________ par le biais du site internet correspondraient à la réalité n’est d’aucun secours à la recourante, dont la requête en complément de preuves du 31 août 2011 a d’ailleurs été rejetée le 17 novembre 2011 par le procureur, qui a considéré que la prévenue n’était pas admise à faire les preuves libératoires dans la mesure où elle avait agi dans l’unique souci d’atteindre la réputation du plaignant et de lui nuire.</w:t>
      </w:r>
    </w:p>
    <w:p>
      <w:r>
        <w:rPr>
          <w:b/>
        </w:rPr>
        <w:t>E. 6</w:t>
      </w:r>
    </w:p>
    <w:p>
      <w:r>
        <w:t>Sur le vu de ce qui précède, le recours doit être rejeté et la décision du 25 octobre 2011 confirmée.</w:t>
      </w:r>
    </w:p>
    <w:p>
      <w:r>
        <w:rPr>
          <w:b/>
        </w:rPr>
        <w:t>E. 7.1</w:t>
      </w:r>
    </w:p>
    <w:p>
      <w:r>
        <w:t>Comme X___________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w:t>
      </w:r>
    </w:p>
    <w:p>
      <w:r>
        <w:rPr>
          <w:b/>
        </w:rPr>
        <w:t>E. 7.2</w:t>
      </w:r>
    </w:p>
    <w:p>
      <w:r>
        <w:t>Les honoraires, variant entre 300 fr. et 2’200 fr., sont fixés notamment d’après la nature et l’importance de la cause, ses difficultés, l’ampleur du travail et le temps utilement consacré par le conseil juridique (art. 27 al. 1 et 36 LTar ; arrêt 6B_767/2010</w:t>
      </w:r>
    </w:p>
    <w:p>
      <w:r>
        <w:t>- 7 -</w:t>
      </w:r>
    </w:p>
    <w:p>
      <w:r>
        <w:t>du 24 février 2011 consid. 3.3 et 3.4). En l’occurrence, compte tenu du degré de difficulté de la cause et des prestations utiles de Me F___________, auteur d’une détermination motivée, les dépenses de Y___________ occasionnées par la procédure de recours sont arrêtées à 500 fr., débours compris (art. 29 al. 2 LTar).</w:t>
      </w:r>
    </w:p>
    <w:p>
      <w:r>
        <w:t>Prononce</w:t>
      </w:r>
    </w:p>
    <w:p>
      <w:r>
        <w:t>1. Le recours est rejeté. 2. Les frais de la procédure de recours, par 600 francs, sont mis à la charge de X___________. 3. X___________ versera à Y___________ une indemnité de 500 francs pour les dépenses occasionnées par la procédure de recours.</w:t>
      </w:r>
    </w:p>
    <w:p>
      <w:r>
        <w:t>Sion, le 26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